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1"/>
        <w:jc w:val="center"/>
        <w:rPr>
          <w:b/>
          <w:bCs/>
          <w:sz w:val="36"/>
          <w:szCs w:val="36"/>
        </w:rPr>
      </w:pPr>
      <w:r>
        <w:rPr>
          <w:rFonts w:hint="eastAsia"/>
          <w:b/>
          <w:bCs/>
          <w:sz w:val="36"/>
          <w:szCs w:val="36"/>
        </w:rPr>
        <w:t>Ai-LoRaWS-1001</w:t>
      </w:r>
      <w:r>
        <w:rPr>
          <w:b/>
          <w:bCs/>
          <w:sz w:val="36"/>
          <w:szCs w:val="36"/>
        </w:rPr>
        <w:t xml:space="preserve"> Ammonia Sensor User Manual</w:t>
      </w:r>
    </w:p>
    <w:p>
      <w:pPr>
        <w:pStyle w:val="3"/>
      </w:pPr>
      <w:r>
        <w:t>1. Overview</w:t>
      </w:r>
    </w:p>
    <w:p>
      <w:r>
        <w:rPr>
          <w:rFonts w:hint="eastAsia"/>
        </w:rPr>
        <w:t>Ai-LoRaWS-1001</w:t>
      </w:r>
      <w:r>
        <w:t>ammonia sensor measures gas concentration with ultra-low power consumption, wide measurement range, excellent linearity, and high sensitivity and stability. It can accurately measure gas concentration at the PPM (parts per million) level. Based on advanced LoRa spread spectrum technology and LoRaWAN wireless communication with star topology networking, the sensor balances communication distance, anti-interference capability, and low power consumption. This ensures longer communication distance and stronger penetration capability (5-12 floors, 2-6 km unobstructed outdoor communication range). It is compatible with the standard LoRaWAN p</w:t>
      </w:r>
      <w:bookmarkStart w:id="0" w:name="_GoBack"/>
      <w:bookmarkEnd w:id="0"/>
      <w:r>
        <w:t>rotocol, offering flexible and convenient networking, making it particularly suitable for applications with obstacles or indoor environments. It can be widely used in factories, commercial buildings, and other IoT environmental monitoring applications.</w:t>
      </w:r>
    </w:p>
    <w:p>
      <w:pPr>
        <w:pStyle w:val="3"/>
      </w:pPr>
      <w:r>
        <w:t>2. Main Technical Specifications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0"/>
        <w:gridCol w:w="4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rPr>
                <w:b/>
              </w:rPr>
              <w:t>Parameter</w:t>
            </w:r>
          </w:p>
        </w:tc>
        <w:tc>
          <w:tcPr>
            <w:tcW w:w="4320" w:type="dxa"/>
          </w:tcPr>
          <w:p>
            <w:pPr>
              <w:spacing w:after="0" w:line="240" w:lineRule="auto"/>
            </w:pPr>
            <w:r>
              <w:rPr>
                <w:b/>
              </w:rPr>
              <w:t>Specification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t>DC Power Supply</w:t>
            </w:r>
          </w:p>
        </w:tc>
        <w:tc>
          <w:tcPr>
            <w:tcW w:w="4320" w:type="dxa"/>
          </w:tcPr>
          <w:p>
            <w:pPr>
              <w:spacing w:after="0" w:line="240" w:lineRule="auto"/>
            </w:pPr>
            <w:r>
              <w:t>DC12V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t>Power Consumption</w:t>
            </w:r>
          </w:p>
        </w:tc>
        <w:tc>
          <w:tcPr>
            <w:tcW w:w="4320" w:type="dxa"/>
          </w:tcPr>
          <w:p>
            <w:pPr>
              <w:spacing w:after="0" w:line="240" w:lineRule="auto"/>
            </w:pPr>
            <w:r>
              <w:t>0.94W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t>Operating Environment</w:t>
            </w:r>
          </w:p>
        </w:tc>
        <w:tc>
          <w:tcPr>
            <w:tcW w:w="4320" w:type="dxa"/>
          </w:tcPr>
          <w:p>
            <w:pPr>
              <w:spacing w:after="0" w:line="240" w:lineRule="auto"/>
            </w:pPr>
            <w:r>
              <w:t>-20~50°C, 15~90%RH (non-condensing)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t>Storage Environment</w:t>
            </w:r>
          </w:p>
        </w:tc>
        <w:tc>
          <w:tcPr>
            <w:tcW w:w="4320" w:type="dxa"/>
          </w:tcPr>
          <w:p>
            <w:pPr>
              <w:spacing w:after="0" w:line="240" w:lineRule="auto"/>
            </w:pPr>
            <w:r>
              <w:t>Standard environment: 0~35°C, 15%~90% humidity</w:t>
            </w:r>
            <w:r>
              <w:br w:type="textWrapping"/>
            </w:r>
            <w:r>
              <w:t>No contaminant gases such as silica gel or alcohol should be present long-term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t>Measurement Range</w:t>
            </w:r>
          </w:p>
        </w:tc>
        <w:tc>
          <w:tcPr>
            <w:tcW w:w="4320" w:type="dxa"/>
          </w:tcPr>
          <w:p>
            <w:pPr>
              <w:spacing w:after="0" w:line="240" w:lineRule="auto"/>
            </w:pPr>
            <w:r>
              <w:t>0~100 PPM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t>Measurement Accuracy</w:t>
            </w:r>
          </w:p>
        </w:tc>
        <w:tc>
          <w:tcPr>
            <w:tcW w:w="4320" w:type="dxa"/>
          </w:tcPr>
          <w:p>
            <w:pPr>
              <w:spacing w:after="0" w:line="240" w:lineRule="auto"/>
            </w:pPr>
            <w: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t>Operating Frequency Band</w:t>
            </w:r>
          </w:p>
        </w:tc>
        <w:tc>
          <w:tcPr>
            <w:tcW w:w="4320" w:type="dxa"/>
          </w:tcPr>
          <w:p>
            <w:pPr>
              <w:spacing w:after="0" w:line="240" w:lineRule="auto"/>
            </w:pPr>
            <w:r>
              <w:t>868 MHz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t>Networking Method</w:t>
            </w:r>
          </w:p>
        </w:tc>
        <w:tc>
          <w:tcPr>
            <w:tcW w:w="4320" w:type="dxa"/>
          </w:tcPr>
          <w:p>
            <w:pPr>
              <w:spacing w:after="0" w:line="240" w:lineRule="auto"/>
            </w:pPr>
            <w:r>
              <w:t>LoRaWAN protocol stack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t>Network Joining Mode</w:t>
            </w:r>
          </w:p>
        </w:tc>
        <w:tc>
          <w:tcPr>
            <w:tcW w:w="4320" w:type="dxa"/>
          </w:tcPr>
          <w:p>
            <w:pPr>
              <w:spacing w:after="0" w:line="240" w:lineRule="auto"/>
            </w:pPr>
            <w:r>
              <w:t>OTAA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t>Output Signal</w:t>
            </w:r>
          </w:p>
        </w:tc>
        <w:tc>
          <w:tcPr>
            <w:tcW w:w="4320" w:type="dxa"/>
          </w:tcPr>
          <w:p>
            <w:pPr>
              <w:spacing w:after="0" w:line="240" w:lineRule="auto"/>
            </w:pPr>
            <w:r>
              <w:t>LoRaWAN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t>Device Information</w:t>
            </w:r>
          </w:p>
        </w:tc>
        <w:tc>
          <w:tcPr>
            <w:tcW w:w="4320" w:type="dxa"/>
          </w:tcPr>
          <w:p>
            <w:pPr>
              <w:spacing w:after="0" w:line="240" w:lineRule="auto"/>
            </w:pPr>
            <w:r>
              <w:t>APPEUI: 0000000000000001</w:t>
            </w:r>
            <w:r>
              <w:br w:type="textWrapping"/>
            </w:r>
            <w:r>
              <w:t>DEVEUI: aaaa202603250001</w:t>
            </w:r>
            <w:r>
              <w:br w:type="textWrapping"/>
            </w:r>
            <w:r>
              <w:t>APPKEY: 00001111222233334444555566667777</w:t>
            </w:r>
          </w:p>
        </w:tc>
      </w:tr>
    </w:tbl>
    <w:p>
      <w:pPr>
        <w:pStyle w:val="3"/>
      </w:pPr>
      <w:r>
        <w:t>3. Installation and Debugging</w:t>
      </w:r>
    </w:p>
    <w:p>
      <w:pPr>
        <w:pStyle w:val="4"/>
      </w:pPr>
      <w:r>
        <w:t>3.1 Dimensions</w:t>
      </w:r>
    </w:p>
    <w:p>
      <w:r>
        <w:t>Dimensions: 114 × 85 × 41 mm</w:t>
      </w:r>
    </w:p>
    <w:p>
      <w:r>
        <w:t>When installing, face the device upward (for better waterproofing).</w:t>
      </w:r>
    </w:p>
    <w:p>
      <w:pPr>
        <w:pStyle w:val="4"/>
      </w:pPr>
      <w:r>
        <w:t>3.2 Wall-Mount Installation Method</w:t>
      </w:r>
    </w:p>
    <w:p>
      <w:r>
        <w:t>The mounting slots are located on both sides of the device. The mounting hole diameter should be less than 4 mm. Use self-tapping screws to install the device at the desired location.</w:t>
      </w:r>
    </w:p>
    <w:p>
      <w:pPr>
        <w:pStyle w:val="4"/>
      </w:pPr>
      <w:r>
        <w:t>3.3 DIP Switch Configuration</w:t>
      </w:r>
    </w:p>
    <w:p>
      <w:r>
        <w:t>As shown in the figure, counting from top to bottom, the first DIP switch (positions 1, 2, 3, 4) sets the upload interval: each switch value × 1 minute. If no switches are set, the default upload interval is 30 seconds. The factory default setting is to upload once every 1 minute.</w:t>
      </w:r>
    </w:p>
    <w:p>
      <w:r>
        <w:t>The second DIP switch (counting from top to bottom) sets the sensor address. Users must select a slave station address between 001 and 255. After setting, power off and restart for the new address to take effect.</w:t>
      </w:r>
    </w:p>
    <w:p>
      <w:r>
        <w:t>DIP switch address setting method:</w:t>
      </w:r>
    </w:p>
    <w:p>
      <w:r>
        <w:t>The figure shows the DIP switch and the value represented by each position. Switching to the "ON" position makes the value active; switching to the opposite direction of "ON" makes the value inactive. The address is the sum of all active values. For example: to set the address to 100, switch positions 3, 6, and 7 to the ON position, i.e., 4 + 32 + 64 = 100.</w:t>
      </w:r>
    </w:p>
    <w:p>
      <w:r>
        <w:rPr>
          <w:b/>
        </w:rPr>
        <w:t xml:space="preserve">Note: </w:t>
      </w:r>
      <w:r>
        <w:t>When modifying the address, the device must be powered off first.</w:t>
      </w:r>
    </w:p>
    <w:p>
      <w:r>
        <w:rPr>
          <w:b/>
        </w:rPr>
        <w:t xml:space="preserve">Note: </w:t>
      </w:r>
      <w:r>
        <w:t>When powering on the sensor, ensure that the gateway is already powered. Do not keep only the sensor powered for an extended period while the gateway is unpowered, as this will reduce the sensor's service life. LoRaWAN sensors may lose approximately 2 data records after a gateway power-off or restart. Battery-powered sensors will have their battery life affected.</w:t>
      </w:r>
    </w:p>
    <w:p>
      <w:pPr>
        <w:pStyle w:val="4"/>
      </w:pPr>
      <w:r>
        <w:t>3.4 Sensor Parameter Register Locations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0"/>
        <w:gridCol w:w="4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t>Register Address</w:t>
            </w:r>
          </w:p>
        </w:tc>
        <w:tc>
          <w:tcPr>
            <w:tcW w:w="4320" w:type="dxa"/>
          </w:tcPr>
          <w:p>
            <w:pPr>
              <w:spacing w:after="0" w:line="240" w:lineRule="auto"/>
            </w:pPr>
            <w:r>
              <w:t>0004H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t>Parameter</w:t>
            </w:r>
          </w:p>
        </w:tc>
        <w:tc>
          <w:tcPr>
            <w:tcW w:w="4320" w:type="dxa"/>
          </w:tcPr>
          <w:p>
            <w:pPr>
              <w:spacing w:after="0" w:line="240" w:lineRule="auto"/>
            </w:pPr>
            <w:r>
              <w:t>Ammonia (NH3)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t>Unit</w:t>
            </w:r>
          </w:p>
        </w:tc>
        <w:tc>
          <w:tcPr>
            <w:tcW w:w="4320" w:type="dxa"/>
          </w:tcPr>
          <w:p>
            <w:pPr>
              <w:spacing w:after="0" w:line="240" w:lineRule="auto"/>
            </w:pPr>
            <w:r>
              <w:t>PPM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t>Range</w:t>
            </w:r>
          </w:p>
        </w:tc>
        <w:tc>
          <w:tcPr>
            <w:tcW w:w="4320" w:type="dxa"/>
          </w:tcPr>
          <w:p>
            <w:pPr>
              <w:spacing w:after="0" w:line="240" w:lineRule="auto"/>
            </w:pPr>
            <w:r>
              <w:t>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t>Sampling Value</w:t>
            </w:r>
          </w:p>
        </w:tc>
        <w:tc>
          <w:tcPr>
            <w:tcW w:w="4320" w:type="dxa"/>
          </w:tcPr>
          <w:p>
            <w:pPr>
              <w:spacing w:after="0" w:line="240" w:lineRule="auto"/>
            </w:pPr>
            <w: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t>Operation</w:t>
            </w:r>
          </w:p>
        </w:tc>
        <w:tc>
          <w:tcPr>
            <w:tcW w:w="4320" w:type="dxa"/>
          </w:tcPr>
          <w:p>
            <w:pPr>
              <w:spacing w:after="0" w:line="240" w:lineRule="auto"/>
            </w:pPr>
            <w:r>
              <w:t>Read-only</w:t>
            </w:r>
          </w:p>
        </w:tc>
      </w:tr>
    </w:tbl>
    <w:p/>
    <w:p>
      <w:r>
        <w:rPr>
          <w:b/>
        </w:rPr>
        <w:t>Protocol Parsing:</w:t>
      </w:r>
    </w:p>
    <w:p>
      <w:r>
        <w:rPr>
          <w:b/>
        </w:rPr>
        <w:t>Data Active Upload:</w:t>
      </w:r>
    </w:p>
    <w:p>
      <w:r>
        <w:rPr>
          <w:rFonts w:ascii="Consolas" w:hAnsi="Consolas"/>
          <w:sz w:val="18"/>
        </w:rPr>
        <w:t>01 03 20 00 00 00 00 00 00 00 00 00 02 00 00 00 00 00 00 00</w:t>
      </w:r>
      <w:r>
        <w:rPr>
          <w:rFonts w:ascii="Consolas" w:hAnsi="Consolas"/>
          <w:sz w:val="18"/>
        </w:rPr>
        <w:br w:type="textWrapping"/>
      </w:r>
      <w:r>
        <w:rPr>
          <w:rFonts w:ascii="Consolas" w:hAnsi="Consolas"/>
          <w:sz w:val="18"/>
        </w:rPr>
        <w:t>00 00 00 00 00 00 00 00 00 00 00 02 00 01 6B 03</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0"/>
        <w:gridCol w:w="4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rPr>
                <w:rFonts w:ascii="Consolas" w:hAnsi="Consolas"/>
              </w:rPr>
              <w:t>01</w:t>
            </w:r>
          </w:p>
        </w:tc>
        <w:tc>
          <w:tcPr>
            <w:tcW w:w="4320" w:type="dxa"/>
          </w:tcPr>
          <w:p>
            <w:pPr>
              <w:spacing w:after="0" w:line="240" w:lineRule="auto"/>
            </w:pPr>
            <w:r>
              <w:t>Sensor address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rPr>
                <w:rFonts w:ascii="Consolas" w:hAnsi="Consolas"/>
              </w:rPr>
              <w:t>03</w:t>
            </w:r>
          </w:p>
        </w:tc>
        <w:tc>
          <w:tcPr>
            <w:tcW w:w="4320" w:type="dxa"/>
          </w:tcPr>
          <w:p>
            <w:pPr>
              <w:spacing w:after="0" w:line="240" w:lineRule="auto"/>
            </w:pPr>
            <w:r>
              <w:t>Function code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rPr>
                <w:rFonts w:ascii="Consolas" w:hAnsi="Consolas"/>
              </w:rPr>
              <w:t>20</w:t>
            </w:r>
          </w:p>
        </w:tc>
        <w:tc>
          <w:tcPr>
            <w:tcW w:w="4320" w:type="dxa"/>
          </w:tcPr>
          <w:p>
            <w:pPr>
              <w:spacing w:after="0" w:line="240" w:lineRule="auto"/>
            </w:pPr>
            <w:r>
              <w:t>Data length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rPr>
                <w:rFonts w:ascii="Consolas" w:hAnsi="Consolas"/>
              </w:rPr>
              <w:t>00 00</w:t>
            </w:r>
          </w:p>
        </w:tc>
        <w:tc>
          <w:tcPr>
            <w:tcW w:w="4320" w:type="dxa"/>
          </w:tcPr>
          <w:p>
            <w:pPr>
              <w:spacing w:after="0" w:line="240" w:lineRule="auto"/>
            </w:pPr>
            <w:r>
              <w:t>Blank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rPr>
                <w:rFonts w:ascii="Consolas" w:hAnsi="Consolas"/>
              </w:rPr>
              <w:t>00 00</w:t>
            </w:r>
          </w:p>
        </w:tc>
        <w:tc>
          <w:tcPr>
            <w:tcW w:w="4320" w:type="dxa"/>
          </w:tcPr>
          <w:p>
            <w:pPr>
              <w:spacing w:after="0" w:line="240" w:lineRule="auto"/>
            </w:pPr>
            <w:r>
              <w:t>Blank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rPr>
                <w:rFonts w:ascii="Consolas" w:hAnsi="Consolas"/>
              </w:rPr>
              <w:t>00 00</w:t>
            </w:r>
          </w:p>
        </w:tc>
        <w:tc>
          <w:tcPr>
            <w:tcW w:w="4320" w:type="dxa"/>
          </w:tcPr>
          <w:p>
            <w:pPr>
              <w:spacing w:after="0" w:line="240" w:lineRule="auto"/>
            </w:pPr>
            <w:r>
              <w:t>Blank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rPr>
                <w:rFonts w:ascii="Consolas" w:hAnsi="Consolas"/>
              </w:rPr>
              <w:t>00 00</w:t>
            </w:r>
          </w:p>
        </w:tc>
        <w:tc>
          <w:tcPr>
            <w:tcW w:w="4320" w:type="dxa"/>
          </w:tcPr>
          <w:p>
            <w:pPr>
              <w:spacing w:after="0" w:line="240" w:lineRule="auto"/>
            </w:pPr>
            <w:r>
              <w:t>Blank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rPr>
                <w:rFonts w:ascii="Consolas" w:hAnsi="Consolas"/>
              </w:rPr>
              <w:t>00 02</w:t>
            </w:r>
          </w:p>
        </w:tc>
        <w:tc>
          <w:tcPr>
            <w:tcW w:w="4320" w:type="dxa"/>
          </w:tcPr>
          <w:p>
            <w:pPr>
              <w:spacing w:after="0" w:line="240" w:lineRule="auto"/>
            </w:pPr>
            <w:r>
              <w:t>Ammonia data: 00 02 (hex) = 0.02 PPM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rPr>
                <w:rFonts w:ascii="Consolas" w:hAnsi="Consolas"/>
              </w:rPr>
              <w:t>00 00</w:t>
            </w:r>
          </w:p>
        </w:tc>
        <w:tc>
          <w:tcPr>
            <w:tcW w:w="4320" w:type="dxa"/>
          </w:tcPr>
          <w:p>
            <w:pPr>
              <w:spacing w:after="0" w:line="240" w:lineRule="auto"/>
            </w:pPr>
            <w:r>
              <w:t>Blank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rPr>
                <w:rFonts w:ascii="Consolas" w:hAnsi="Consolas"/>
              </w:rPr>
              <w:t>00 00</w:t>
            </w:r>
          </w:p>
        </w:tc>
        <w:tc>
          <w:tcPr>
            <w:tcW w:w="4320" w:type="dxa"/>
          </w:tcPr>
          <w:p>
            <w:pPr>
              <w:spacing w:after="0" w:line="240" w:lineRule="auto"/>
            </w:pPr>
            <w:r>
              <w:t>Blank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rPr>
                <w:rFonts w:ascii="Consolas" w:hAnsi="Consolas"/>
              </w:rPr>
              <w:t>00 00</w:t>
            </w:r>
          </w:p>
        </w:tc>
        <w:tc>
          <w:tcPr>
            <w:tcW w:w="4320" w:type="dxa"/>
          </w:tcPr>
          <w:p>
            <w:pPr>
              <w:spacing w:after="0" w:line="240" w:lineRule="auto"/>
            </w:pPr>
            <w:r>
              <w:t>Blank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rPr>
                <w:rFonts w:ascii="Consolas" w:hAnsi="Consolas"/>
              </w:rPr>
              <w:t>00 00</w:t>
            </w:r>
          </w:p>
        </w:tc>
        <w:tc>
          <w:tcPr>
            <w:tcW w:w="4320" w:type="dxa"/>
          </w:tcPr>
          <w:p>
            <w:pPr>
              <w:spacing w:after="0" w:line="240" w:lineRule="auto"/>
            </w:pPr>
            <w:r>
              <w:t>Blank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rPr>
                <w:rFonts w:ascii="Consolas" w:hAnsi="Consolas"/>
              </w:rPr>
              <w:t>00 00</w:t>
            </w:r>
          </w:p>
        </w:tc>
        <w:tc>
          <w:tcPr>
            <w:tcW w:w="4320" w:type="dxa"/>
          </w:tcPr>
          <w:p>
            <w:pPr>
              <w:spacing w:after="0" w:line="240" w:lineRule="auto"/>
            </w:pPr>
            <w:r>
              <w:t>Blank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rPr>
                <w:rFonts w:ascii="Consolas" w:hAnsi="Consolas"/>
              </w:rPr>
              <w:t>00 00</w:t>
            </w:r>
          </w:p>
        </w:tc>
        <w:tc>
          <w:tcPr>
            <w:tcW w:w="4320" w:type="dxa"/>
          </w:tcPr>
          <w:p>
            <w:pPr>
              <w:spacing w:after="0" w:line="240" w:lineRule="auto"/>
            </w:pPr>
            <w:r>
              <w:t>Blank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rPr>
                <w:rFonts w:ascii="Consolas" w:hAnsi="Consolas"/>
              </w:rPr>
              <w:t>00 00</w:t>
            </w:r>
          </w:p>
        </w:tc>
        <w:tc>
          <w:tcPr>
            <w:tcW w:w="4320" w:type="dxa"/>
          </w:tcPr>
          <w:p>
            <w:pPr>
              <w:spacing w:after="0" w:line="240" w:lineRule="auto"/>
            </w:pPr>
            <w:r>
              <w:t>Blank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rPr>
                <w:rFonts w:ascii="Consolas" w:hAnsi="Consolas"/>
              </w:rPr>
              <w:t>00 00</w:t>
            </w:r>
          </w:p>
        </w:tc>
        <w:tc>
          <w:tcPr>
            <w:tcW w:w="4320" w:type="dxa"/>
          </w:tcPr>
          <w:p>
            <w:pPr>
              <w:spacing w:after="0" w:line="240" w:lineRule="auto"/>
            </w:pPr>
            <w:r>
              <w:t>Blank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rPr>
                <w:rFonts w:ascii="Consolas" w:hAnsi="Consolas"/>
              </w:rPr>
              <w:t>00 02</w:t>
            </w:r>
          </w:p>
        </w:tc>
        <w:tc>
          <w:tcPr>
            <w:tcW w:w="4320" w:type="dxa"/>
          </w:tcPr>
          <w:p>
            <w:pPr>
              <w:spacing w:after="0" w:line="240" w:lineRule="auto"/>
            </w:pPr>
            <w:r>
              <w:t>Internal data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rPr>
                <w:rFonts w:ascii="Consolas" w:hAnsi="Consolas"/>
              </w:rPr>
              <w:t>00 01</w:t>
            </w:r>
          </w:p>
        </w:tc>
        <w:tc>
          <w:tcPr>
            <w:tcW w:w="4320" w:type="dxa"/>
          </w:tcPr>
          <w:p>
            <w:pPr>
              <w:spacing w:after="0" w:line="240" w:lineRule="auto"/>
            </w:pPr>
            <w:r>
              <w:t>Device address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pPr>
              <w:spacing w:after="0" w:line="240" w:lineRule="auto"/>
            </w:pPr>
            <w:r>
              <w:rPr>
                <w:rFonts w:ascii="Consolas" w:hAnsi="Consolas"/>
              </w:rPr>
              <w:t>6B 03</w:t>
            </w:r>
          </w:p>
        </w:tc>
        <w:tc>
          <w:tcPr>
            <w:tcW w:w="4320" w:type="dxa"/>
          </w:tcPr>
          <w:p>
            <w:pPr>
              <w:spacing w:after="0" w:line="240" w:lineRule="auto"/>
            </w:pPr>
            <w:r>
              <w:t>Checksum</w:t>
            </w:r>
          </w:p>
        </w:tc>
      </w:tr>
    </w:tbl>
    <w:p>
      <w:pPr>
        <w:pStyle w:val="4"/>
      </w:pPr>
      <w:r>
        <w:t>3.5 Power-On Test</w:t>
      </w:r>
    </w:p>
    <w:p>
      <w:r>
        <w:t>For initial use, connect the sensor to a DC12V power supply. The power indicator light will illuminate, and after a brief moment, the operation indicator light will flash once, indicating that the program is running. If you need to reconfigure the DIP switches, after completing the settings, power off and then power on again. The operation indicator light will flash briefly, indicating that the settings have been successfully applied. The sensor can then be installed on-site and put into operation.</w:t>
      </w:r>
    </w:p>
    <w:p>
      <w:r>
        <w:t>The wireless sensor must be used in conjunction with a wireless receiving gateway. The wireless receiving gateway receives signals from wireless monitoring points and converts them into network data or serial data, which is then transmitted to the monitoring software platform. For instructions on using the wireless gateway, please refer to the wireless gateway user manual.</w:t>
      </w:r>
    </w:p>
    <w:p>
      <w:r>
        <w:t>The wireless sensor should be installed in an elevated and open location, preferably more than 1 meter above ground. Avoid placing metal objects around the sensor to prevent shielding and weakening of the wireless signal. Electronic interference may originate from various sources such as generators, high-current equipment, high-voltage relays, and transformers, and should be avoided. Vibration or impact may also become sources of interference, so the device should be installed as stationary as possible. Do not install the device in environments that exceed the sensor's measurement range, as this will cause the product to malfunction and may result in permanent damage to the sensor.</w:t>
      </w:r>
    </w:p>
    <w:p>
      <w:pPr>
        <w:pStyle w:val="3"/>
      </w:pPr>
      <w:r>
        <w:t>4. Precautions</w:t>
      </w:r>
    </w:p>
    <w:p>
      <w:pPr>
        <w:pStyle w:val="16"/>
      </w:pPr>
      <w:r>
        <w:t>‹ Avoid exposing the sensor to organic solvents (including silica gel and other adhesives), coatings, chemicals, oils, and high-concentration gases.</w:t>
      </w:r>
    </w:p>
    <w:p>
      <w:pPr>
        <w:pStyle w:val="16"/>
      </w:pPr>
      <w:r>
        <w:t>‹ The sensor probe must not be completely encapsulated with resin material, nor immersed in an oxygen-free environment, as this will damage the sensor's performance.</w:t>
      </w:r>
    </w:p>
    <w:p>
      <w:pPr>
        <w:pStyle w:val="16"/>
      </w:pPr>
      <w:r>
        <w:t>‹ The sensor must not be used for extended periods in environments containing corrosive gases, as corrosive gases will damage the sensor.</w:t>
      </w:r>
    </w:p>
    <w:p>
      <w:pPr>
        <w:pStyle w:val="16"/>
      </w:pPr>
      <w:r>
        <w:t>‹ The sensor must not be subjected to excessive impact or vibration.</w:t>
      </w:r>
    </w:p>
    <w:p>
      <w:pPr>
        <w:pStyle w:val="16"/>
      </w:pPr>
      <w:r>
        <w:t>‹ The sensor station address setting must not duplicate any other slave station address.</w:t>
      </w:r>
    </w:p>
    <w:p>
      <w:pPr>
        <w:pStyle w:val="16"/>
      </w:pPr>
      <w:r>
        <w:t>‹ If the sensor needs to be replaced due to a fault, simply set the new sensor node address and channel address to match the original sensor settings, power on, and it is ready for use.</w:t>
      </w:r>
    </w:p>
    <w:p>
      <w:pPr>
        <w:pStyle w:val="16"/>
      </w:pPr>
      <w:r>
        <w:t>‹ The communication distance specified in this manual refers to unobstructed outdoor line-of-sight distance, with the antenna more than 3 meters above ground. Actual distance should be reduced according to the on-site environment.</w:t>
      </w:r>
    </w:p>
    <w:p>
      <w:pPr>
        <w:pStyle w:val="16"/>
      </w:pPr>
      <w:r>
        <w:t>‹ The product is factory-configured with wireless communication in timed-sampling active upload mode.</w:t>
      </w:r>
    </w:p>
    <w:p>
      <w:pPr>
        <w:pStyle w:val="16"/>
      </w:pPr>
      <w:r>
        <w:t>‹ Our company also produces 433MHz wireless acquisition terminals (routers), 433MHz wireless control terminals (routers), 433MHz/serial gateways, 433MHz/WiFi gateways, etc., which are very convenient for use with 433MHz wireless sensors.</w:t>
      </w:r>
    </w:p>
    <w:p>
      <w:pPr>
        <w:pStyle w:val="3"/>
      </w:pPr>
      <w:r>
        <w:t>5. Common Issues and Solutions</w:t>
      </w:r>
    </w:p>
    <w:p>
      <w:r>
        <w:t>Possible reasons for failure to read sensor acquisition data:</w:t>
      </w:r>
    </w:p>
    <w:p>
      <w:pPr>
        <w:pStyle w:val="14"/>
      </w:pPr>
      <w:r>
        <w:t>1. Incorrect device address, or duplicate addresses exist. Check whether the sensor address is set correctly. If necessary, use a multimeter to measure the DIP switch status.</w:t>
      </w:r>
    </w:p>
    <w:p>
      <w:pPr>
        <w:pStyle w:val="14"/>
      </w:pPr>
      <w:r>
        <w:t>2. The wireless sensor must not be placed in an environment with surrounding metal obstructions, such as a room with metal walls on all four sides.</w:t>
      </w:r>
    </w:p>
    <w:p>
      <w:pPr>
        <w:pStyle w:val="14"/>
      </w:pPr>
      <w:r>
        <w:t>3. The wireless sensor and wireless gateway should be placed more than 5 meters apart. When testing indoors at close range, remove the external antennas from both the sensor and the gateway.</w:t>
      </w:r>
    </w:p>
    <w:p>
      <w:pPr>
        <w:pStyle w:val="3"/>
      </w:pPr>
      <w:r>
        <w:t>6. After-Sales and Warranty</w:t>
      </w:r>
    </w:p>
    <w:p>
      <w:r>
        <w:t>Our company provides free repair for product quality issues within 1 year from the date of shipment. However, damage caused by force majeure, human factors, or improper use is not covered by the warranty. This product is maintained long-term.</w:t>
      </w:r>
    </w:p>
    <w:p>
      <w:r>
        <w:t>Adhering to the principle of technological advancement and committed to the concept of technological innovation, our company reserves the right to improve any product without prior notice. The product structure and parameters may differ slightly from this manual; please refer to the actual purchased product.</w:t>
      </w: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Consolas">
    <w:panose1 w:val="020B0609020204030204"/>
    <w:charset w:val="00"/>
    <w:family w:val="auto"/>
    <w:pitch w:val="default"/>
    <w:sig w:usb0="E00006FF" w:usb1="0000FCFF" w:usb2="00000001" w:usb3="00000000" w:csb0="6000019F" w:csb1="DFD7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4MjAyZTc5YzA0ZDQyYmJjNDhjZGMxNTNlNDllZTIifQ=="/>
  </w:docVars>
  <w:rsids>
    <w:rsidRoot w:val="00B47730"/>
    <w:rsid w:val="00034616"/>
    <w:rsid w:val="0006063C"/>
    <w:rsid w:val="0015074B"/>
    <w:rsid w:val="0029639D"/>
    <w:rsid w:val="00326F90"/>
    <w:rsid w:val="00AA1D8D"/>
    <w:rsid w:val="00B47730"/>
    <w:rsid w:val="00CB0664"/>
    <w:rsid w:val="00FC693F"/>
    <w:rsid w:val="1C881A3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unhideWhenUsed="0" w:uiPriority="70" w:semiHidden="0" w:name="Dark List Accent 2"/>
    <w:lsdException w:unhideWhenUsed="0" w:uiPriority="71" w:semiHidden="0" w:name="Colorful Shading Accent 2"/>
    <w:lsdException w:qFormat="1"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1253</Words>
  <Characters>6765</Characters>
  <Lines>0</Lines>
  <Paragraphs>0</Paragraphs>
  <TotalTime>23</TotalTime>
  <ScaleCrop>false</ScaleCrop>
  <LinksUpToDate>false</LinksUpToDate>
  <CharactersWithSpaces>7897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Tara</cp:lastModifiedBy>
  <dcterms:modified xsi:type="dcterms:W3CDTF">2026-07-20T03:02:00Z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5BE369A5BECD445C9539AA83852B0410_12</vt:lpwstr>
  </property>
</Properties>
</file>